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A" w:rsidRDefault="0082704A" w:rsidP="007155E3">
      <w:pPr>
        <w:snapToGrid w:val="0"/>
        <w:spacing w:line="560" w:lineRule="exact"/>
        <w:ind w:firstLineChars="200" w:firstLine="600"/>
        <w:jc w:val="right"/>
        <w:rPr>
          <w:rFonts w:ascii="仿宋_GB2312" w:eastAsia="仿宋_GB2312" w:hAnsi="仿宋"/>
          <w:color w:val="000000"/>
          <w:sz w:val="30"/>
          <w:szCs w:val="30"/>
        </w:rPr>
      </w:pPr>
    </w:p>
    <w:p w:rsidR="0082704A" w:rsidRDefault="00A47987">
      <w:pPr>
        <w:snapToGrid w:val="0"/>
        <w:spacing w:line="560" w:lineRule="exact"/>
        <w:ind w:right="600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</w:p>
    <w:p w:rsidR="0082704A" w:rsidRDefault="00A479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“品味书香，传递阅读力量”</w:t>
      </w:r>
    </w:p>
    <w:p w:rsidR="0082704A" w:rsidRDefault="00A479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——2022年青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终身学习数字阅读活动方案</w:t>
      </w:r>
    </w:p>
    <w:p w:rsidR="0082704A" w:rsidRDefault="008270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一、活动宗旨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为深入推进全民阅读，让更多的市民品味读书的魅力、得到文化的滋养、受到智慧的启迪、增强战胜困难的信心，2022年青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浦市民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终身学习数字阅读活动将以“品味书香，传递阅读力量”为主题，旨在让青浦市民在“安静的时间”里可以更多地阅读与思考，利用海量数字化学习资源进行广泛阅读，以书为媒，分享品读体验，丰富心灵，激发学习热情，坚定理想信念，更好地弘扬伟大的时代精神和城市品格。</w:t>
      </w:r>
    </w:p>
    <w:p w:rsidR="0082704A" w:rsidRDefault="00A47987">
      <w:pPr>
        <w:pStyle w:val="a5"/>
        <w:spacing w:line="560" w:lineRule="exact"/>
        <w:ind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本次活动由青浦区推进学习型社会建设指导委员会办公室领导，青浦区社区学院组织管理，各成员单位负责读书活动的组织发动、统筹协调、负责具体工作实施。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二、活动主题</w:t>
      </w:r>
    </w:p>
    <w:p w:rsidR="0082704A" w:rsidRDefault="00A47987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品味书香，传递阅读力量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atLeas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三、活动平台</w:t>
      </w:r>
    </w:p>
    <w:p w:rsidR="0082704A" w:rsidRDefault="00A47987">
      <w:pPr>
        <w:pStyle w:val="a5"/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1.青浦市民学习网（</w:t>
      </w:r>
      <w:hyperlink r:id="rId8" w:history="1">
        <w:r>
          <w:rPr>
            <w:rFonts w:ascii="仿宋" w:eastAsia="仿宋" w:hAnsi="仿宋" w:cs="仿宋" w:hint="eastAsia"/>
            <w:sz w:val="30"/>
            <w:szCs w:val="30"/>
          </w:rPr>
          <w:t>www.qplll.net</w:t>
        </w:r>
      </w:hyperlink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82704A" w:rsidRDefault="00A47987">
      <w:pPr>
        <w:pStyle w:val="a5"/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2.上海市民学习网（www.shlll.net）</w:t>
      </w:r>
    </w:p>
    <w:p w:rsidR="0082704A" w:rsidRDefault="00A47987">
      <w:pPr>
        <w:pStyle w:val="a5"/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3.上海学习网官方微信（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微信搜索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“上海学习网”）。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四、活动内容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（一）整体时间安排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2022年4月活动启动，分三个阶段开展：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第一阶段：4月23日－10月6日。组织市民开展参与各项主题活动。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第二阶段：10月7日－10月15日。在全市范围开展读书达人、优秀组织单位的评选活动。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第三阶段：10月16日－10月31日。对活动中产生的读书达人、优秀组织单位予以表扬，推广读书达人经验，扩大活动辐射效应。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（二）开展特色活动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本次活动将推出个人“云端书房”概念，市民可在“云端书房”内参与本次活动的各个特色活动，更可在“云端书房”的“书架”上博览群书。具体特色活动如下：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本次活动将在上海学习网官方网站和上海学习网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官方微信两个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平台开设“云端书房”页面，“云端书房”中将开辟三个特色活动，具体如图所示：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107950</wp:posOffset>
            </wp:positionV>
            <wp:extent cx="5278120" cy="3361690"/>
            <wp:effectExtent l="0" t="0" r="17780" b="10160"/>
            <wp:wrapTopAndBottom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>各板块的特色活动具体开展如下：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1.“成果品鉴”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活动期间，平台将展示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历届市民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使用手机或相机录制的与阅读相关的读后感等短视频。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参与流程：活动期间，用户登录上海学习网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及微信活动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专区，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在此板块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中观看短视频。参与的市民可获得相应积分奖励。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2.“视听品赏”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（1）经典品阅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上海学习网提供丰富多样的高质量的数字图书资源。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参与流程：活动期间，用户登录上海学习网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及微信活动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专区，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在此板块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中选择数字图书进行在线学习。参与的市民可获得相应积分奖励。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（2）品足论道（直播共享）</w:t>
      </w:r>
    </w:p>
    <w:p w:rsidR="0082704A" w:rsidRPr="000A0673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0A0673">
        <w:rPr>
          <w:rFonts w:ascii="仿宋_GB2312" w:eastAsia="仿宋_GB2312" w:hAnsi="仿宋" w:hint="eastAsia"/>
          <w:sz w:val="30"/>
          <w:szCs w:val="30"/>
        </w:rPr>
        <w:t>本次活动将采用直播课堂的形式进行阅读分享，分享会主题可自拟。直播分享主题及直播内容简介将在读书节品足论道板块上提前预告，并呈现参与方式链接，直播前通过上海学习</w:t>
      </w:r>
      <w:proofErr w:type="gramStart"/>
      <w:r w:rsidRPr="000A0673">
        <w:rPr>
          <w:rFonts w:ascii="仿宋_GB2312" w:eastAsia="仿宋_GB2312" w:hAnsi="仿宋" w:hint="eastAsia"/>
          <w:sz w:val="30"/>
          <w:szCs w:val="30"/>
        </w:rPr>
        <w:t>网微信公众号</w:t>
      </w:r>
      <w:proofErr w:type="gramEnd"/>
      <w:r w:rsidRPr="000A0673">
        <w:rPr>
          <w:rFonts w:ascii="仿宋_GB2312" w:eastAsia="仿宋_GB2312" w:hAnsi="仿宋" w:hint="eastAsia"/>
          <w:sz w:val="30"/>
          <w:szCs w:val="30"/>
        </w:rPr>
        <w:t>等渠道进行宣传推广。市民在直播时间段内可以点击后参与直播，直播内容的视频同时设置查看回放视频链接。</w:t>
      </w:r>
    </w:p>
    <w:p w:rsidR="0082704A" w:rsidRPr="000A0673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0A0673">
        <w:rPr>
          <w:rFonts w:ascii="仿宋_GB2312" w:eastAsia="仿宋_GB2312" w:hAnsi="仿宋" w:hint="eastAsia"/>
          <w:sz w:val="30"/>
          <w:szCs w:val="30"/>
        </w:rPr>
        <w:t>市读书节主办方将参与组织直播课堂活动的单位作为“优秀组织单位”评选依据之一，参与直播活动的社区市民可获得相应积分奖励。各单位如有直播分享安排，可与区社区学院共同组织开展，将直播主题、计划开展月份、教师姓名等信息于5月7日前交由区社区学院上报主办方。列入主办</w:t>
      </w:r>
      <w:proofErr w:type="gramStart"/>
      <w:r w:rsidRPr="000A0673">
        <w:rPr>
          <w:rFonts w:ascii="仿宋_GB2312" w:eastAsia="仿宋_GB2312" w:hAnsi="仿宋" w:hint="eastAsia"/>
          <w:sz w:val="30"/>
          <w:szCs w:val="30"/>
        </w:rPr>
        <w:t>方统安排</w:t>
      </w:r>
      <w:proofErr w:type="gramEnd"/>
      <w:r w:rsidRPr="000A0673">
        <w:rPr>
          <w:rFonts w:ascii="仿宋_GB2312" w:eastAsia="仿宋_GB2312" w:hAnsi="仿宋" w:hint="eastAsia"/>
          <w:sz w:val="30"/>
          <w:szCs w:val="30"/>
        </w:rPr>
        <w:t>后各单位提前10天上报直播主题、直播内容简介、讲师简介、直播地址等信息。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（3）经典品听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上海学习网提供丰富多样的高质量地听书电子资源。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参与流程：活动期间，用户登录上海学习网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及微信活动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专区，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在此板块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中选择有声图书进行在线学习。参与的市民可获得相应积分奖励。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3.品赏留痕（活动签到）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活动期间，用户登录上海学习网及微信，进入“云端书房”，点击“签到”按钮进行活动每日签到，可获得相应积分奖励。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五、活动激励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（一）积分兑换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在本次活动期间参与活动并完成各项活动内容，均可获得相应积分奖励（积分规则详见附表1），所累积的积分可在活动激励页面兑换奖品。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（二）评选数字阅读活动读书达人、优秀组织单位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市读书节主办方将综合学习者的签到情况、在线学习情况、观看短视频的数量以及参加阅读分享直播课堂等情况，评选出本次活动的百名数字阅读活动读书达人；将综合参考本区活动总参与人数、在线学习情况、观看短视频的数量以及组织阅读分享直播课堂的成效等，评选活动的优秀组织单位（具体评选办法详见后续通知）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</w:t>
      </w:r>
      <w:r>
        <w:rPr>
          <w:rFonts w:ascii="黑体" w:eastAsia="黑体" w:hAnsi="黑体" w:hint="eastAsia"/>
          <w:color w:val="000000"/>
          <w:sz w:val="30"/>
          <w:szCs w:val="30"/>
        </w:rPr>
        <w:t>组织发动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1.各街镇成员单位</w:t>
      </w:r>
      <w:r>
        <w:rPr>
          <w:rFonts w:ascii="仿宋_GB2312" w:eastAsia="仿宋" w:hAnsi="仿宋" w:hint="eastAsia"/>
          <w:sz w:val="30"/>
          <w:szCs w:val="30"/>
        </w:rPr>
        <w:t>认真组织、广泛动员、有效落实、创新形式，有计划、有部署地开展活动；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借助新技术、新媒体，如微信、抖音、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哔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哩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哔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哩等载体，扩大活动传播面和覆盖面；结合区域特色，将数字阅读活动与人文行走、体验基地、社会学习点建设等重点工作项目相结合，提高活动的知晓率</w:t>
      </w:r>
      <w:r w:rsidR="007E7678">
        <w:rPr>
          <w:rFonts w:ascii="仿宋_GB2312" w:eastAsia="仿宋_GB2312" w:hAnsi="仿宋" w:hint="eastAsia"/>
          <w:color w:val="000000"/>
          <w:sz w:val="30"/>
          <w:szCs w:val="30"/>
        </w:rPr>
        <w:t>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参与率。</w:t>
      </w:r>
    </w:p>
    <w:p w:rsidR="0082704A" w:rsidRPr="000A0673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atLeast"/>
        <w:ind w:firstLineChars="200" w:firstLine="600"/>
        <w:jc w:val="left"/>
        <w:rPr>
          <w:rFonts w:ascii="仿宋_GB2312" w:eastAsia="仿宋" w:hAnsi="仿宋"/>
          <w:sz w:val="30"/>
          <w:szCs w:val="30"/>
        </w:rPr>
      </w:pPr>
      <w:r>
        <w:rPr>
          <w:rFonts w:ascii="仿宋_GB2312" w:eastAsia="仿宋" w:hAnsi="仿宋"/>
          <w:sz w:val="30"/>
          <w:szCs w:val="30"/>
        </w:rPr>
        <w:t>2</w:t>
      </w:r>
      <w:r>
        <w:rPr>
          <w:rFonts w:ascii="仿宋_GB2312" w:eastAsia="仿宋" w:hAnsi="仿宋" w:hint="eastAsia"/>
          <w:sz w:val="30"/>
          <w:szCs w:val="30"/>
        </w:rPr>
        <w:t>.</w:t>
      </w:r>
      <w:r>
        <w:rPr>
          <w:rFonts w:ascii="仿宋_GB2312" w:eastAsia="仿宋" w:hAnsi="仿宋" w:hint="eastAsia"/>
          <w:sz w:val="30"/>
          <w:szCs w:val="30"/>
        </w:rPr>
        <w:t>协调相关职能部门，广泛发动组织机关干部、团员青年、企事业单位职工、社区居民、外来务工人员等各类人群参与活动，</w:t>
      </w:r>
      <w:r>
        <w:rPr>
          <w:rFonts w:ascii="仿宋_GB2312" w:eastAsia="仿宋" w:hAnsi="仿宋" w:hint="eastAsia"/>
          <w:sz w:val="30"/>
          <w:szCs w:val="30"/>
        </w:rPr>
        <w:lastRenderedPageBreak/>
        <w:t>尤其是要发挥各级各类学习型组织、市民优秀学习团队、读书会的示范引领作用。统筹、协调辖区内中小学校，将本次数字阅读活动与中小学生日常学习活动相结合；同时，将其作为学生暑期生活的重要内容，丰富学生课余生活。</w:t>
      </w:r>
      <w:r w:rsidR="00235BC6" w:rsidRPr="000F0F82">
        <w:rPr>
          <w:rFonts w:ascii="仿宋_GB2312" w:eastAsia="仿宋" w:hAnsi="仿宋" w:hint="eastAsia"/>
          <w:sz w:val="30"/>
          <w:szCs w:val="30"/>
        </w:rPr>
        <w:t>街镇成员单位设有活动指标数</w:t>
      </w:r>
      <w:r w:rsidRPr="000A0673">
        <w:rPr>
          <w:rFonts w:ascii="仿宋_GB2312" w:eastAsia="仿宋" w:hAnsi="仿宋" w:hint="eastAsia"/>
          <w:sz w:val="30"/>
          <w:szCs w:val="30"/>
        </w:rPr>
        <w:t>（附</w:t>
      </w:r>
      <w:r w:rsidR="000A0673" w:rsidRPr="000A0673">
        <w:rPr>
          <w:rFonts w:ascii="仿宋_GB2312" w:eastAsia="仿宋" w:hAnsi="仿宋" w:hint="eastAsia"/>
          <w:sz w:val="30"/>
          <w:szCs w:val="30"/>
        </w:rPr>
        <w:t>表</w:t>
      </w:r>
      <w:r w:rsidRPr="000A0673">
        <w:rPr>
          <w:rFonts w:ascii="仿宋_GB2312" w:eastAsia="仿宋" w:hAnsi="仿宋" w:hint="eastAsia"/>
          <w:sz w:val="30"/>
          <w:szCs w:val="30"/>
        </w:rPr>
        <w:t>2</w:t>
      </w:r>
      <w:r w:rsidRPr="000A0673">
        <w:rPr>
          <w:rFonts w:ascii="仿宋_GB2312" w:eastAsia="仿宋" w:hAnsi="仿宋" w:hint="eastAsia"/>
          <w:sz w:val="30"/>
          <w:szCs w:val="30"/>
        </w:rPr>
        <w:t>）。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七、宣传推广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本次活动将通过多种渠道进行数字阅读活动的推广和辐射。上海学习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网官网及微信平台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将实时发布活动动态等信息并定期发布活动详情、活动最新进展。上海学习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网微信公众号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将会定期推送与主题相关的书籍、课程等学习资源。通过线上线下联动，多方位立体式的宣传报道，引导更多的市民踊跃参与，营造全民阅读的良好社会氛围。</w:t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八、材料报送</w:t>
      </w:r>
    </w:p>
    <w:p w:rsidR="0082704A" w:rsidRDefault="00A47987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各成员单位要做好活动数据统计及材料报送工作。委办局由联络员报送，街镇由社区学校统一报送。</w:t>
      </w:r>
    </w:p>
    <w:p w:rsidR="0082704A" w:rsidRDefault="00A47987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各街镇做好数字阅读活动的总结报告（不少于1000字，应有</w:t>
      </w:r>
      <w:r w:rsidR="00494B31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至三个活动案例及相关图片），以电子版本形式发送到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社区学院电子邮箱（</w:t>
      </w:r>
      <w:r>
        <w:rPr>
          <w:rFonts w:ascii="仿宋_GB2312" w:eastAsia="仿宋" w:hAnsi="仿宋" w:hint="eastAsia"/>
          <w:sz w:val="30"/>
          <w:szCs w:val="30"/>
        </w:rPr>
        <w:t>s</w:t>
      </w:r>
      <w:r>
        <w:rPr>
          <w:rFonts w:ascii="仿宋_GB2312" w:eastAsia="仿宋" w:hAnsi="仿宋"/>
          <w:sz w:val="30"/>
          <w:szCs w:val="30"/>
        </w:rPr>
        <w:t>h</w:t>
      </w:r>
      <w:r>
        <w:rPr>
          <w:rFonts w:ascii="仿宋_GB2312" w:eastAsia="仿宋" w:hAnsi="仿宋" w:hint="eastAsia"/>
          <w:sz w:val="30"/>
          <w:szCs w:val="30"/>
        </w:rPr>
        <w:t>qpsqxy@163.com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）。</w:t>
      </w:r>
    </w:p>
    <w:p w:rsidR="0082704A" w:rsidRDefault="00A47987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2.活动总结报告报送截止时间：</w:t>
      </w:r>
      <w:r w:rsidRPr="00494B31">
        <w:rPr>
          <w:rFonts w:ascii="仿宋" w:eastAsia="仿宋" w:hAnsi="仿宋" w:cs="仿宋" w:hint="eastAsia"/>
          <w:bCs/>
          <w:kern w:val="0"/>
          <w:sz w:val="30"/>
          <w:szCs w:val="30"/>
        </w:rPr>
        <w:t>2022年</w:t>
      </w:r>
      <w:r w:rsidRPr="00494B31">
        <w:rPr>
          <w:rFonts w:ascii="仿宋" w:eastAsia="仿宋" w:hAnsi="仿宋" w:cs="仿宋"/>
          <w:bCs/>
          <w:kern w:val="0"/>
          <w:sz w:val="30"/>
          <w:szCs w:val="30"/>
        </w:rPr>
        <w:t>9</w:t>
      </w:r>
      <w:r w:rsidRPr="00494B31">
        <w:rPr>
          <w:rFonts w:ascii="仿宋" w:eastAsia="仿宋" w:hAnsi="仿宋" w:cs="仿宋" w:hint="eastAsia"/>
          <w:bCs/>
          <w:kern w:val="0"/>
          <w:sz w:val="30"/>
          <w:szCs w:val="30"/>
        </w:rPr>
        <w:t>月</w:t>
      </w:r>
      <w:r w:rsidRPr="00494B31">
        <w:rPr>
          <w:rFonts w:ascii="仿宋" w:eastAsia="仿宋" w:hAnsi="仿宋" w:cs="仿宋"/>
          <w:bCs/>
          <w:kern w:val="0"/>
          <w:sz w:val="30"/>
          <w:szCs w:val="30"/>
        </w:rPr>
        <w:t>2</w:t>
      </w:r>
      <w:r w:rsidRPr="00494B31">
        <w:rPr>
          <w:rFonts w:ascii="仿宋" w:eastAsia="仿宋" w:hAnsi="仿宋" w:cs="仿宋" w:hint="eastAsia"/>
          <w:bCs/>
          <w:kern w:val="0"/>
          <w:sz w:val="30"/>
          <w:szCs w:val="30"/>
        </w:rPr>
        <w:t>0日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。</w:t>
      </w:r>
    </w:p>
    <w:p w:rsidR="0082704A" w:rsidRDefault="00A47987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3.</w:t>
      </w:r>
      <w:r>
        <w:rPr>
          <w:rFonts w:ascii="仿宋" w:eastAsia="仿宋" w:hAnsi="仿宋" w:cs="仿宋" w:hint="eastAsia"/>
          <w:kern w:val="0"/>
          <w:sz w:val="30"/>
          <w:szCs w:val="30"/>
        </w:rPr>
        <w:t>联系人：傅永希，联系电话：18918867796</w:t>
      </w:r>
    </w:p>
    <w:p w:rsidR="0082704A" w:rsidRDefault="008270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82704A" w:rsidRDefault="00A47987" w:rsidP="000017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附表1：2022年上海市民终身学习数字阅读活动市民获取积分规则</w:t>
      </w:r>
    </w:p>
    <w:p w:rsidR="0082704A" w:rsidRDefault="00A47987" w:rsidP="000017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附表2：2022年青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浦市民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终身学习数字阅读活动街镇活动指标数</w:t>
      </w:r>
      <w:r>
        <w:rPr>
          <w:rFonts w:ascii="黑体" w:eastAsia="黑体" w:hAnsi="黑体" w:hint="eastAsia"/>
          <w:sz w:val="30"/>
          <w:szCs w:val="30"/>
        </w:rPr>
        <w:br w:type="page"/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附表1</w:t>
      </w:r>
    </w:p>
    <w:p w:rsidR="0082704A" w:rsidRDefault="008270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82704A" w:rsidRDefault="00A47987">
      <w:pPr>
        <w:widowControl/>
        <w:snapToGrid w:val="0"/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2022年上海市民终身学习数字阅读活动</w:t>
      </w:r>
    </w:p>
    <w:p w:rsidR="0082704A" w:rsidRDefault="00A47987">
      <w:pPr>
        <w:widowControl/>
        <w:snapToGrid w:val="0"/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市民获取积分规则</w:t>
      </w:r>
    </w:p>
    <w:tbl>
      <w:tblPr>
        <w:tblpPr w:leftFromText="180" w:rightFromText="180" w:vertAnchor="text" w:horzAnchor="page" w:tblpX="2072" w:tblpY="546"/>
        <w:tblOverlap w:val="never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73"/>
        <w:gridCol w:w="2353"/>
        <w:gridCol w:w="1986"/>
      </w:tblGrid>
      <w:tr w:rsidR="0082704A">
        <w:trPr>
          <w:trHeight w:val="1134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积分获取方式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单次获得积分数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每日积分上限</w:t>
            </w:r>
          </w:p>
        </w:tc>
      </w:tr>
      <w:tr w:rsidR="0082704A">
        <w:trPr>
          <w:trHeight w:val="1301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“成果品鉴”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版块</w:t>
            </w:r>
            <w:proofErr w:type="gramEnd"/>
          </w:p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观看短视频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2分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</w:t>
            </w:r>
          </w:p>
        </w:tc>
      </w:tr>
      <w:tr w:rsidR="0082704A">
        <w:trPr>
          <w:trHeight w:val="1263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“视听品赏”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版块</w:t>
            </w:r>
            <w:proofErr w:type="gramEnd"/>
          </w:p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在线阅读图书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2分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</w:t>
            </w:r>
          </w:p>
        </w:tc>
      </w:tr>
      <w:tr w:rsidR="0082704A">
        <w:trPr>
          <w:trHeight w:val="1253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“视听品赏”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版块</w:t>
            </w:r>
            <w:proofErr w:type="gramEnd"/>
          </w:p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观看直播课堂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5分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</w:t>
            </w:r>
          </w:p>
        </w:tc>
      </w:tr>
      <w:tr w:rsidR="0082704A">
        <w:trPr>
          <w:trHeight w:val="1271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“视听品赏”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版块</w:t>
            </w:r>
            <w:proofErr w:type="gramEnd"/>
          </w:p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收听书籍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2分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</w:t>
            </w:r>
          </w:p>
        </w:tc>
      </w:tr>
      <w:tr w:rsidR="0082704A">
        <w:trPr>
          <w:trHeight w:val="1134"/>
        </w:trPr>
        <w:tc>
          <w:tcPr>
            <w:tcW w:w="601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活动签到</w:t>
            </w:r>
          </w:p>
        </w:tc>
        <w:tc>
          <w:tcPr>
            <w:tcW w:w="147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5分</w:t>
            </w:r>
          </w:p>
        </w:tc>
        <w:tc>
          <w:tcPr>
            <w:tcW w:w="1246" w:type="pct"/>
            <w:vAlign w:val="center"/>
          </w:tcPr>
          <w:p w:rsidR="0082704A" w:rsidRDefault="00A47987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5分</w:t>
            </w:r>
          </w:p>
        </w:tc>
      </w:tr>
    </w:tbl>
    <w:p w:rsidR="0082704A" w:rsidRDefault="008270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</w:p>
    <w:p w:rsidR="0082704A" w:rsidRDefault="00A4798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</w:p>
    <w:p w:rsidR="0082704A" w:rsidRDefault="00A47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附表2：</w:t>
      </w:r>
    </w:p>
    <w:p w:rsidR="00D22995" w:rsidRDefault="00D229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:rsidR="0082704A" w:rsidRDefault="00A47987">
      <w:pPr>
        <w:widowControl/>
        <w:spacing w:before="150" w:after="150" w:line="440" w:lineRule="exact"/>
        <w:ind w:firstLine="641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Tahoma" w:hint="eastAsia"/>
          <w:b/>
          <w:kern w:val="0"/>
          <w:sz w:val="36"/>
          <w:szCs w:val="36"/>
        </w:rPr>
        <w:t>2022年青</w:t>
      </w:r>
      <w:proofErr w:type="gramStart"/>
      <w:r>
        <w:rPr>
          <w:rFonts w:ascii="宋体" w:hAnsi="宋体" w:cs="Tahoma" w:hint="eastAsia"/>
          <w:b/>
          <w:kern w:val="0"/>
          <w:sz w:val="36"/>
          <w:szCs w:val="36"/>
        </w:rPr>
        <w:t>浦市民</w:t>
      </w:r>
      <w:proofErr w:type="gramEnd"/>
      <w:r>
        <w:rPr>
          <w:rFonts w:ascii="宋体" w:hAnsi="宋体" w:cs="Tahoma" w:hint="eastAsia"/>
          <w:b/>
          <w:kern w:val="0"/>
          <w:sz w:val="36"/>
          <w:szCs w:val="36"/>
        </w:rPr>
        <w:t>终身学习数字阅读活动</w:t>
      </w:r>
    </w:p>
    <w:p w:rsidR="0082704A" w:rsidRDefault="00A47987">
      <w:pPr>
        <w:widowControl/>
        <w:spacing w:before="150" w:after="150" w:line="440" w:lineRule="exact"/>
        <w:ind w:firstLine="641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街镇活动指标数</w:t>
      </w:r>
    </w:p>
    <w:p w:rsidR="008E1226" w:rsidRDefault="008E1226">
      <w:pPr>
        <w:widowControl/>
        <w:spacing w:before="150" w:after="150" w:line="440" w:lineRule="exact"/>
        <w:ind w:firstLine="641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934"/>
      </w:tblGrid>
      <w:tr w:rsidR="0082704A" w:rsidTr="00D22995">
        <w:tc>
          <w:tcPr>
            <w:tcW w:w="1526" w:type="dxa"/>
            <w:vAlign w:val="center"/>
          </w:tcPr>
          <w:p w:rsidR="0082704A" w:rsidRDefault="00A479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街镇</w:t>
            </w:r>
          </w:p>
        </w:tc>
        <w:tc>
          <w:tcPr>
            <w:tcW w:w="2268" w:type="dxa"/>
            <w:vAlign w:val="center"/>
          </w:tcPr>
          <w:p w:rsidR="00494B31" w:rsidRDefault="00A479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活动指标数</w:t>
            </w:r>
          </w:p>
          <w:p w:rsidR="0082704A" w:rsidRDefault="00A479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（单位：人）</w:t>
            </w:r>
          </w:p>
        </w:tc>
        <w:tc>
          <w:tcPr>
            <w:tcW w:w="2934" w:type="dxa"/>
            <w:vAlign w:val="center"/>
          </w:tcPr>
          <w:p w:rsidR="0082704A" w:rsidRDefault="00A47987" w:rsidP="008E122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夏阳街道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/>
                <w:sz w:val="28"/>
                <w:szCs w:val="28"/>
              </w:rPr>
              <w:t>1</w:t>
            </w:r>
            <w:r>
              <w:rPr>
                <w:rFonts w:ascii="仿宋_GB2312" w:eastAsia="仿宋" w:hint="eastAsia"/>
                <w:sz w:val="28"/>
                <w:szCs w:val="28"/>
              </w:rPr>
              <w:t>5</w:t>
            </w:r>
            <w:r>
              <w:rPr>
                <w:rFonts w:ascii="仿宋_GB2312" w:eastAsia="仿宋"/>
                <w:sz w:val="28"/>
                <w:szCs w:val="28"/>
              </w:rPr>
              <w:t>00</w:t>
            </w:r>
          </w:p>
        </w:tc>
        <w:tc>
          <w:tcPr>
            <w:tcW w:w="2934" w:type="dxa"/>
            <w:vMerge w:val="restart"/>
            <w:vAlign w:val="center"/>
          </w:tcPr>
          <w:p w:rsidR="008E1226" w:rsidRDefault="008E1226" w:rsidP="00CF24BC">
            <w:pPr>
              <w:spacing w:line="46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</w:t>
            </w:r>
            <w:r w:rsidR="00800E97">
              <w:rPr>
                <w:rFonts w:ascii="仿宋_GB2312" w:eastAsia="仿宋" w:hint="eastAsia"/>
                <w:sz w:val="28"/>
                <w:szCs w:val="28"/>
              </w:rPr>
              <w:t>.</w:t>
            </w:r>
            <w:r>
              <w:rPr>
                <w:rFonts w:ascii="仿宋_GB2312" w:eastAsia="仿宋" w:hint="eastAsia"/>
                <w:sz w:val="28"/>
                <w:szCs w:val="28"/>
              </w:rPr>
              <w:t>此指标</w:t>
            </w:r>
            <w:proofErr w:type="gramStart"/>
            <w:r>
              <w:rPr>
                <w:rFonts w:ascii="仿宋_GB2312" w:eastAsia="仿宋" w:hint="eastAsia"/>
                <w:sz w:val="28"/>
                <w:szCs w:val="28"/>
              </w:rPr>
              <w:t>数主要</w:t>
            </w:r>
            <w:proofErr w:type="gramEnd"/>
            <w:r>
              <w:rPr>
                <w:rFonts w:ascii="仿宋_GB2312" w:eastAsia="仿宋" w:hint="eastAsia"/>
                <w:sz w:val="28"/>
                <w:szCs w:val="28"/>
              </w:rPr>
              <w:t>是指参加本次活动的人数。</w:t>
            </w:r>
          </w:p>
          <w:p w:rsidR="008E1226" w:rsidRDefault="008E1226" w:rsidP="00CF24BC">
            <w:pPr>
              <w:spacing w:line="46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2.</w:t>
            </w:r>
            <w:r>
              <w:rPr>
                <w:rFonts w:ascii="仿宋_GB2312" w:eastAsia="仿宋" w:hint="eastAsia"/>
                <w:sz w:val="28"/>
                <w:szCs w:val="28"/>
              </w:rPr>
              <w:t>各街镇重点培育的学习团队必须参加。</w:t>
            </w:r>
          </w:p>
          <w:p w:rsidR="008E1226" w:rsidRPr="00260019" w:rsidRDefault="008E1226" w:rsidP="00CF24BC">
            <w:pPr>
              <w:spacing w:line="460" w:lineRule="exact"/>
              <w:rPr>
                <w:rFonts w:ascii="仿宋_GB2312" w:eastAsia="仿宋" w:hAnsi="仿宋"/>
                <w:sz w:val="30"/>
                <w:szCs w:val="30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3.</w:t>
            </w:r>
            <w:r w:rsidR="00A6038F" w:rsidRPr="00260019">
              <w:rPr>
                <w:rFonts w:ascii="仿宋_GB2312" w:eastAsia="仿宋" w:hAnsi="宋体" w:hint="eastAsia"/>
                <w:sz w:val="28"/>
                <w:szCs w:val="28"/>
              </w:rPr>
              <w:t>活动将</w:t>
            </w:r>
            <w:r>
              <w:rPr>
                <w:rFonts w:ascii="仿宋_GB2312" w:eastAsia="仿宋" w:hint="eastAsia"/>
                <w:sz w:val="28"/>
                <w:szCs w:val="28"/>
              </w:rPr>
              <w:t>开展“区</w:t>
            </w:r>
            <w:r w:rsidRPr="005B154C">
              <w:rPr>
                <w:rFonts w:ascii="仿宋_GB2312" w:eastAsia="仿宋" w:hint="eastAsia"/>
                <w:sz w:val="28"/>
                <w:szCs w:val="28"/>
              </w:rPr>
              <w:t>读书达人</w:t>
            </w:r>
            <w:r>
              <w:rPr>
                <w:rFonts w:ascii="仿宋_GB2312" w:eastAsia="仿宋" w:hint="eastAsia"/>
                <w:sz w:val="28"/>
                <w:szCs w:val="28"/>
              </w:rPr>
              <w:t>”</w:t>
            </w:r>
            <w:r w:rsidRPr="005B154C">
              <w:rPr>
                <w:rFonts w:ascii="仿宋_GB2312" w:eastAsia="仿宋" w:hint="eastAsia"/>
                <w:sz w:val="28"/>
                <w:szCs w:val="28"/>
              </w:rPr>
              <w:t>、“区优秀组织单位”等评选活</w:t>
            </w:r>
            <w:r>
              <w:rPr>
                <w:rFonts w:ascii="仿宋_GB2312" w:eastAsia="仿宋" w:hAnsi="宋体" w:hint="eastAsia"/>
                <w:sz w:val="28"/>
                <w:szCs w:val="28"/>
              </w:rPr>
              <w:t>动。</w:t>
            </w:r>
          </w:p>
          <w:p w:rsidR="0082704A" w:rsidRPr="008E1226" w:rsidRDefault="0082704A" w:rsidP="008E1226">
            <w:pPr>
              <w:spacing w:line="460" w:lineRule="exact"/>
              <w:ind w:left="-357"/>
              <w:rPr>
                <w:rFonts w:ascii="仿宋_GB2312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" w:hint="eastAsia"/>
                <w:sz w:val="28"/>
                <w:szCs w:val="28"/>
              </w:rPr>
              <w:t>盈浦街道</w:t>
            </w:r>
            <w:proofErr w:type="gramEnd"/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1400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香花桥街道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1300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赵巷镇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1200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仿宋_GB2312" w:eastAsia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_GB2312" w:eastAsia="仿宋" w:hint="eastAsia"/>
                <w:sz w:val="28"/>
                <w:szCs w:val="28"/>
              </w:rPr>
              <w:t>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1500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华新镇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</w:t>
            </w:r>
            <w:r>
              <w:rPr>
                <w:rFonts w:ascii="仿宋_GB2312" w:eastAsia="仿宋"/>
                <w:sz w:val="28"/>
                <w:szCs w:val="28"/>
              </w:rPr>
              <w:t>6</w:t>
            </w:r>
            <w:r>
              <w:rPr>
                <w:rFonts w:ascii="仿宋_GB2312" w:eastAsia="仿宋" w:hint="eastAsia"/>
                <w:sz w:val="28"/>
                <w:szCs w:val="28"/>
              </w:rPr>
              <w:t>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重固镇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1000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白鹤镇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1200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朱家角镇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1500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练塘镇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1300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82704A" w:rsidTr="00D22995">
        <w:trPr>
          <w:trHeight w:hRule="exact" w:val="680"/>
        </w:trPr>
        <w:tc>
          <w:tcPr>
            <w:tcW w:w="1526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金泽镇</w:t>
            </w:r>
          </w:p>
        </w:tc>
        <w:tc>
          <w:tcPr>
            <w:tcW w:w="2268" w:type="dxa"/>
            <w:vAlign w:val="center"/>
          </w:tcPr>
          <w:p w:rsidR="0082704A" w:rsidRDefault="00A47987">
            <w:pPr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1300</w:t>
            </w:r>
          </w:p>
        </w:tc>
        <w:tc>
          <w:tcPr>
            <w:tcW w:w="2934" w:type="dxa"/>
            <w:vMerge/>
            <w:vAlign w:val="center"/>
          </w:tcPr>
          <w:p w:rsidR="0082704A" w:rsidRDefault="0082704A" w:rsidP="008E1226">
            <w:pPr>
              <w:spacing w:line="360" w:lineRule="auto"/>
              <w:rPr>
                <w:sz w:val="24"/>
              </w:rPr>
            </w:pPr>
          </w:p>
        </w:tc>
      </w:tr>
      <w:tr w:rsidR="00D22995" w:rsidTr="00D22995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22995" w:rsidRDefault="00D22995">
            <w:pPr>
              <w:spacing w:line="32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D22995" w:rsidRDefault="00D22995">
            <w:pPr>
              <w:spacing w:line="320" w:lineRule="exact"/>
              <w:jc w:val="center"/>
              <w:rPr>
                <w:rFonts w:ascii="仿宋_GB2312" w:eastAsia="仿宋"/>
                <w:b/>
                <w:sz w:val="28"/>
                <w:szCs w:val="28"/>
              </w:rPr>
            </w:pPr>
            <w:r>
              <w:rPr>
                <w:rFonts w:ascii="仿宋_GB2312" w:eastAsia="仿宋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"/>
                <w:b/>
                <w:sz w:val="28"/>
                <w:szCs w:val="28"/>
              </w:rPr>
              <w:t>48</w:t>
            </w:r>
            <w:r>
              <w:rPr>
                <w:rFonts w:ascii="仿宋_GB2312" w:eastAsia="仿宋" w:hint="eastAsia"/>
                <w:b/>
                <w:sz w:val="28"/>
                <w:szCs w:val="28"/>
              </w:rPr>
              <w:t>00</w:t>
            </w:r>
          </w:p>
        </w:tc>
        <w:tc>
          <w:tcPr>
            <w:tcW w:w="2934" w:type="dxa"/>
            <w:vAlign w:val="center"/>
          </w:tcPr>
          <w:p w:rsidR="00D22995" w:rsidRDefault="00D22995" w:rsidP="008E1226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82704A" w:rsidRDefault="008270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</w:p>
    <w:sectPr w:rsidR="0082704A">
      <w:footerReference w:type="default" r:id="rId10"/>
      <w:pgSz w:w="11906" w:h="16838"/>
      <w:pgMar w:top="1440" w:right="1800" w:bottom="1318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34" w:rsidRDefault="00CF6634">
      <w:r>
        <w:separator/>
      </w:r>
    </w:p>
  </w:endnote>
  <w:endnote w:type="continuationSeparator" w:id="0">
    <w:p w:rsidR="00CF6634" w:rsidRDefault="00C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4A" w:rsidRDefault="00A479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704A" w:rsidRDefault="00A4798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17C4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2704A" w:rsidRDefault="00A4798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17C4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34" w:rsidRDefault="00CF6634">
      <w:r>
        <w:separator/>
      </w:r>
    </w:p>
  </w:footnote>
  <w:footnote w:type="continuationSeparator" w:id="0">
    <w:p w:rsidR="00CF6634" w:rsidRDefault="00CF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A5MjAxMDllZDczYTFmZjBjNjgyYTI3YjgyNGMifQ=="/>
  </w:docVars>
  <w:rsids>
    <w:rsidRoot w:val="0094154E"/>
    <w:rsid w:val="000017C4"/>
    <w:rsid w:val="000220AB"/>
    <w:rsid w:val="000A0673"/>
    <w:rsid w:val="000B4E98"/>
    <w:rsid w:val="00235BC6"/>
    <w:rsid w:val="002E1FB5"/>
    <w:rsid w:val="003D02B7"/>
    <w:rsid w:val="00451217"/>
    <w:rsid w:val="00494B31"/>
    <w:rsid w:val="004C29E3"/>
    <w:rsid w:val="006E293B"/>
    <w:rsid w:val="00701099"/>
    <w:rsid w:val="00707257"/>
    <w:rsid w:val="007155E3"/>
    <w:rsid w:val="007E7678"/>
    <w:rsid w:val="00800E97"/>
    <w:rsid w:val="0082704A"/>
    <w:rsid w:val="00890569"/>
    <w:rsid w:val="0089121D"/>
    <w:rsid w:val="008B31E8"/>
    <w:rsid w:val="008C5834"/>
    <w:rsid w:val="008E1226"/>
    <w:rsid w:val="0094154E"/>
    <w:rsid w:val="009B660F"/>
    <w:rsid w:val="009B7018"/>
    <w:rsid w:val="00A10CBA"/>
    <w:rsid w:val="00A47987"/>
    <w:rsid w:val="00A6038F"/>
    <w:rsid w:val="00A87A19"/>
    <w:rsid w:val="00B109A6"/>
    <w:rsid w:val="00B92AE9"/>
    <w:rsid w:val="00C10A9F"/>
    <w:rsid w:val="00CF24BC"/>
    <w:rsid w:val="00CF6634"/>
    <w:rsid w:val="00D22995"/>
    <w:rsid w:val="00D26B8C"/>
    <w:rsid w:val="00D644F4"/>
    <w:rsid w:val="196A3332"/>
    <w:rsid w:val="199C6E32"/>
    <w:rsid w:val="204B370D"/>
    <w:rsid w:val="25F56F08"/>
    <w:rsid w:val="283F2235"/>
    <w:rsid w:val="2C301930"/>
    <w:rsid w:val="478B5BE9"/>
    <w:rsid w:val="4BA3418D"/>
    <w:rsid w:val="583803AB"/>
    <w:rsid w:val="5C3E5028"/>
    <w:rsid w:val="607D37A6"/>
    <w:rsid w:val="649136A7"/>
    <w:rsid w:val="702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rsid w:val="008E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rsid w:val="008E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pll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傅永希</cp:lastModifiedBy>
  <cp:revision>22</cp:revision>
  <dcterms:created xsi:type="dcterms:W3CDTF">2022-04-23T01:08:00Z</dcterms:created>
  <dcterms:modified xsi:type="dcterms:W3CDTF">2022-04-27T01:58:00Z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04D0CB23756B4B4A81790582070D8D5F</vt:lpwstr>
  </property>
</Properties>
</file>