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D" w:rsidRDefault="00806BF4">
      <w:pPr>
        <w:widowControl/>
        <w:snapToGrid w:val="0"/>
        <w:spacing w:line="560" w:lineRule="exact"/>
        <w:jc w:val="center"/>
        <w:rPr>
          <w:rFonts w:ascii="楷体" w:eastAsia="楷体" w:hAnsi="楷体" w:cs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关于组织开展“致敬，在阅读的您”</w:t>
      </w: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 xml:space="preserve"> </w:t>
      </w:r>
    </w:p>
    <w:p w:rsidR="00270EAD" w:rsidRDefault="00806BF4">
      <w:pPr>
        <w:widowControl/>
        <w:snapToGrid w:val="0"/>
        <w:spacing w:line="560" w:lineRule="exact"/>
        <w:jc w:val="center"/>
        <w:rPr>
          <w:rFonts w:ascii="楷体" w:eastAsia="楷体" w:hAnsi="楷体" w:cs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——第</w:t>
      </w: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10</w:t>
      </w: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届青浦社区网上读书活动的通知</w:t>
      </w:r>
    </w:p>
    <w:p w:rsidR="00270EAD" w:rsidRDefault="00806BF4">
      <w:pPr>
        <w:widowControl/>
        <w:snapToGrid w:val="0"/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</w:p>
    <w:p w:rsidR="00270EAD" w:rsidRDefault="00806BF4">
      <w:pPr>
        <w:widowControl/>
        <w:snapToGrid w:val="0"/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各成员单位：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开展全民阅读活动是我国构建公共文化服务体系的一项重要部署，对培育和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践行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社会主义核心价值观、提高国民思想道德素质和科学文化素质、建设社会主义文化强国、增强国家文化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软实力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具有重要意义。在上海市学习型社会建设与终身教育促进委员会办公室指导下，上海市学习型社会建设服务指导中心和上海开放大学将举办“致敬，在阅读的您”——第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届上海社区网上读书活动，进一步推动阅读方式多元化，建设书香城市。</w:t>
      </w:r>
    </w:p>
    <w:p w:rsidR="00270EAD" w:rsidRDefault="00806BF4">
      <w:pPr>
        <w:autoSpaceDE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根据《关于组织开展“致敬，在阅读的您”第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10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届上海社区网上读书活动的通知》（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沪学指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1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号）精神，我区将在全区范围内开展“‘亲子阅读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慧爱家庭’第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10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届青浦社区网上读书活动”，并把本次活动纳入“青浦区第十四届读书节”宣传教育活动项目。</w:t>
      </w:r>
    </w:p>
    <w:p w:rsidR="00270EAD" w:rsidRDefault="00806BF4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希望各成员单位高度重视，密切配合，加强组织，积极落实，全力推进，为青浦市民的终身学习和社区教育的内涵发展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贡献。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附件：“致敬，在阅读的您”——第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届上海社区网上读书活动方案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青浦区推进学习型社会建设指导委员会办公室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青浦区社区学院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p w:rsidR="00270EAD" w:rsidRDefault="00806BF4">
      <w:pPr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</w:p>
    <w:p w:rsidR="00270EAD" w:rsidRDefault="00806BF4">
      <w:pPr>
        <w:snapToGrid w:val="0"/>
        <w:spacing w:line="560" w:lineRule="exact"/>
        <w:jc w:val="center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“致敬，在阅读的您”</w:t>
      </w:r>
    </w:p>
    <w:p w:rsidR="00270EAD" w:rsidRDefault="00806BF4">
      <w:pPr>
        <w:snapToGrid w:val="0"/>
        <w:spacing w:line="560" w:lineRule="exact"/>
        <w:jc w:val="center"/>
        <w:outlineLvl w:val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——第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届青浦社区网上读书活动方案</w:t>
      </w:r>
    </w:p>
    <w:p w:rsidR="00270EAD" w:rsidRDefault="00806BF4">
      <w:pPr>
        <w:snapToGrid w:val="0"/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一、活动宗旨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是全面建成小康社会和“十三五”规划的收官之年，也是经受新冠肺炎疫情重大考验之年。上海社区网上读书活动以“致敬，在阅读的您”为主题，旨在通过创新阅读方式，倡导居家阅读、在线阅读，使更多的市民受到文化的滋养和智慧的启迪，以展现每一个平凡之人因阅读而获取的力量之美，展示其因阅读而焕发的知性之美。本届活动将通过开展“走进阅读空间”等系列活动，进一步激发市民学习热情，致敬每一位热爱阅读的市民，致敬孜孜不倦求知的精神，营造“人人皆学、处处能学、时时可学”的终身学习氛围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二、活动主题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致敬，在阅读的您</w:t>
      </w:r>
    </w:p>
    <w:p w:rsidR="00270EAD" w:rsidRDefault="00806BF4">
      <w:pPr>
        <w:widowControl/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活动组织</w:t>
      </w:r>
    </w:p>
    <w:p w:rsidR="00270EAD" w:rsidRDefault="00806BF4">
      <w:pPr>
        <w:pStyle w:val="a6"/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活动由青浦区推进学习型社会建设指导委员会办公室领导，区社区学院具体组织管理。各成员单位负责本单位或本街镇活动的统筹协调与组织发动；各街镇社区学校（成人学校）负责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70EAD" w:rsidRDefault="00806BF4">
      <w:pPr>
        <w:spacing w:line="560" w:lineRule="exac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四、活动平台</w:t>
      </w:r>
    </w:p>
    <w:p w:rsidR="00270EAD" w:rsidRDefault="00806BF4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青浦市民学习网（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www.qplll.net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）及上海学习网官方微信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微信搜索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“上海学习网”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五、活动资源</w:t>
      </w:r>
    </w:p>
    <w:p w:rsidR="00270EAD" w:rsidRDefault="00806BF4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“上海学习网”、“青浦市民学习网”提供以“中外经典名著”为核心的数字图书资源、听书电子资源、防疫教育资源等相关网络课程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pacing w:val="7"/>
          <w:kern w:val="0"/>
          <w:sz w:val="30"/>
          <w:szCs w:val="30"/>
        </w:rPr>
        <w:t>其他贴近主题并富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有区域特色的学习资源。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六、活动内容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（一）整体时间安排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月活动启动，分三个阶段开展。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第一阶段：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日。组织市民开展参与各项网上阅读主题活动并提交学习成果。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第二阶段：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日。在全市范围开展本届网上读书活动先进个人、优秀组织单位的评选活动。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第三阶段：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31</w:t>
      </w:r>
      <w:r>
        <w:rPr>
          <w:rFonts w:ascii="仿宋" w:eastAsia="仿宋" w:hAnsi="仿宋" w:cs="仿宋" w:hint="eastAsia"/>
          <w:sz w:val="30"/>
          <w:szCs w:val="30"/>
        </w:rPr>
        <w:t>日。表扬本届网上读书活动先进个人、优秀组织单位，推广先进个人和集体的经验，扩大读书活动辐射效应。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（二）开展特色活动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本届活动将在</w:t>
      </w:r>
      <w:r>
        <w:rPr>
          <w:rFonts w:ascii="仿宋" w:eastAsia="仿宋" w:hAnsi="仿宋" w:cs="仿宋" w:hint="eastAsia"/>
          <w:sz w:val="30"/>
          <w:szCs w:val="30"/>
        </w:rPr>
        <w:t>“</w:t>
      </w:r>
      <w:r>
        <w:rPr>
          <w:rFonts w:ascii="仿宋" w:eastAsia="仿宋" w:hAnsi="仿宋" w:cs="仿宋" w:hint="eastAsia"/>
          <w:sz w:val="30"/>
          <w:szCs w:val="30"/>
        </w:rPr>
        <w:t>青浦市民学习网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官方网站和上海学习网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官方微信两个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平台开设活动专题页面，专题页面包含的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版块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有：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“走进阅读空间”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根据上海学习网及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官方微信提供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的电子书阅读资源、听书电子资源、防疫教育资源，鼓励社区居民、学习团队阅读更多经典读本。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参与流程：活动期间，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用户注册并登陆“青浦市民学习网”，在首页点击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“活动”板块——“热门活动”中的图标，进入首页，点击“我要参加”，</w:t>
      </w:r>
      <w:r>
        <w:rPr>
          <w:rFonts w:ascii="仿宋" w:eastAsia="仿宋" w:hAnsi="仿宋" w:cs="仿宋" w:hint="eastAsia"/>
          <w:sz w:val="30"/>
          <w:szCs w:val="30"/>
        </w:rPr>
        <w:t>在“走进阅读空间”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版块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中，可在“看书”、“听书”、“科普防疫”中选择资源进行在线学习，可获得相应积分奖励。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“随拍阅读身影”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鼓励社区居民寻找发现身边的读书者，上传照片，发现阅读之美，展现阅读之乐，营造书香上海氛围。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参与流程：活动期间，用户登录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“青浦市民学习网”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及微信活动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专区，在“随拍阅读身影”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版块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中上传身边读书者照片，可获得相应积分奖励。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参与要求：照片内容需积极向上，拍摄主题需与读书有关。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“乐荐阅读生活”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利用手机录制一分钟短视频，市民通过这一分钟时间介绍在疫情期间阅读给自己生活带来的改变。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参与流程：活动期间，用户将小视频提交至</w:t>
      </w:r>
      <w:r>
        <w:rPr>
          <w:rFonts w:ascii="仿宋" w:eastAsia="仿宋" w:hAnsi="仿宋" w:cs="仿宋" w:hint="eastAsia"/>
          <w:sz w:val="30"/>
          <w:szCs w:val="30"/>
        </w:rPr>
        <w:t>青浦区</w:t>
      </w:r>
      <w:r>
        <w:rPr>
          <w:rFonts w:ascii="仿宋" w:eastAsia="仿宋" w:hAnsi="仿宋" w:cs="仿宋" w:hint="eastAsia"/>
          <w:sz w:val="30"/>
          <w:szCs w:val="30"/>
        </w:rPr>
        <w:t>社区学院</w:t>
      </w:r>
      <w:r>
        <w:rPr>
          <w:rFonts w:ascii="仿宋" w:eastAsia="仿宋" w:hAnsi="仿宋" w:cs="仿宋" w:hint="eastAsia"/>
          <w:sz w:val="30"/>
          <w:szCs w:val="30"/>
        </w:rPr>
        <w:t>qpsqxy@163.com</w:t>
      </w:r>
      <w:r>
        <w:rPr>
          <w:rFonts w:ascii="仿宋" w:eastAsia="仿宋" w:hAnsi="仿宋" w:cs="仿宋" w:hint="eastAsia"/>
          <w:sz w:val="30"/>
          <w:szCs w:val="30"/>
        </w:rPr>
        <w:t>邮箱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由各区社区学院审核后，发邮件至</w:t>
      </w:r>
      <w:r>
        <w:rPr>
          <w:rFonts w:ascii="仿宋" w:eastAsia="仿宋" w:hAnsi="仿宋" w:cs="仿宋" w:hint="eastAsia"/>
          <w:sz w:val="30"/>
          <w:szCs w:val="30"/>
        </w:rPr>
        <w:t>service@shlll.net</w:t>
      </w:r>
      <w:r>
        <w:rPr>
          <w:rFonts w:ascii="仿宋" w:eastAsia="仿宋" w:hAnsi="仿宋" w:cs="仿宋" w:hint="eastAsia"/>
          <w:sz w:val="30"/>
          <w:szCs w:val="30"/>
        </w:rPr>
        <w:t>，由主办方择优展示在“乐荐阅读生活”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版块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参与要求：发表内容需积极向上，视频时长为一分钟，画面需</w:t>
      </w:r>
      <w:r>
        <w:rPr>
          <w:rFonts w:ascii="仿宋" w:eastAsia="仿宋" w:hAnsi="仿宋" w:cs="仿宋" w:hint="eastAsia"/>
          <w:sz w:val="30"/>
          <w:szCs w:val="30"/>
        </w:rPr>
        <w:t>清晰，对书籍的介绍需简洁明了、通俗易懂。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技术要求：需用手机拍摄，MP4、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MPEG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AVI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MOV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WMV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MKV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FLV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RMVB</w:t>
      </w:r>
      <w:r>
        <w:rPr>
          <w:rFonts w:ascii="仿宋" w:eastAsia="仿宋" w:hAnsi="仿宋" w:cs="仿宋" w:hint="eastAsia"/>
          <w:sz w:val="30"/>
          <w:szCs w:val="30"/>
        </w:rPr>
        <w:t>等常见的视频格式，时长是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分钟，文件大小无限制。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“结伴阅读之旅”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活动期间，鼓励各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结合各自工作实际，遵守疫情防控要求，组织各类线上线下相结合的读书活动，如读书沙龙、读书会、演讲比赛、歌咏会、人文行走等活动，吸引市民积极参与。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各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做好上述活动的成果总结，并将成果及时展示于上海学习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。主办方将此作为“优选组织单位”评选依据之一。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“小打卡”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活动期间，用户登录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“青浦市民学习网”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及微信活动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专区，点击“签到”按钮进行活动每日签到，可获得相应积分奖励。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七、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活动激励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（一）积分兑换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在本次活动期间参与活动并完成各项活动内容，如在线学习、上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传读书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者照片等皆可获得相应积分奖励（积分规则详见附表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）。所累积的积分可在活动激励页面兑换奖品。</w:t>
      </w:r>
    </w:p>
    <w:p w:rsidR="00270EAD" w:rsidRDefault="00806BF4" w:rsidP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（二）评选网上读书活动先进个人、优秀组织单位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主办方将综合学习者的签到情况、在线学习情况、提交读书者照片数量质量以及参加“结伴阅读之旅”等情况，评选本届网上读书活动先进个人；将综合参考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活动总参与人数、在线学习情况、提交读书者照片数量质量以及组织“结伴阅读之旅”的成效等，评选本届读书活动的优秀组织单位（具体评选办法详见后续通知）。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八、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组织发动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社区学院认真组织、广泛动员、有效落实、创新形式，有计划、有部署地开展活动；借助新技术、新媒体，如微信、“云视课堂”、“空中课堂”等载体，扩大活动传播面和覆盖面；鼓励各区结合区域特色，将读书活动与人文行走、体验基地、社会学习点建设等重点工作项目相结合，提高活动的知晓率和参与率。</w:t>
      </w:r>
    </w:p>
    <w:p w:rsidR="00270EAD" w:rsidRDefault="00806BF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九、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宣传推广</w:t>
      </w:r>
    </w:p>
    <w:p w:rsidR="00270EAD" w:rsidRDefault="00806BF4">
      <w:pPr>
        <w:widowControl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本届活动将通过多种渠道进行网上读书活动的推广和辐射。</w:t>
      </w:r>
    </w:p>
    <w:p w:rsidR="00270EAD" w:rsidRDefault="00806BF4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上海学习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网官网及微信平台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将实时发布活动动态等信息并定期发布本届读书活动详情、活动最新进展。上海学习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将会定期推送与主题相关的书籍、课程等学习资源。通过线上线下联动，多方位立体式的宣传报道，引导更多的市民踊跃参与，营造全民阅读的良好社会氛围。</w:t>
      </w:r>
    </w:p>
    <w:p w:rsidR="00270EAD" w:rsidRDefault="00806BF4">
      <w:pPr>
        <w:widowControl/>
        <w:snapToGrid w:val="0"/>
        <w:spacing w:line="560" w:lineRule="atLeas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十、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活动要求</w:t>
      </w:r>
    </w:p>
    <w:p w:rsidR="00270EAD" w:rsidRDefault="00806BF4" w:rsidP="00806BF4">
      <w:pPr>
        <w:widowControl/>
        <w:snapToGrid w:val="0"/>
        <w:spacing w:line="560" w:lineRule="atLeast"/>
        <w:ind w:firstLineChars="200" w:firstLine="6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（一）组织发动要求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、各成员单位要协调相关职能部门，广泛发动组织机关干部、团员青年、企事业单位职工、社区居民、外来务工人员等各类人群参与活动，尤其是要发挥各级各类学习型组织、市民优秀学习团队、读书会的示范引领作用。街镇成员单位设有活动指标数（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附件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）。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、各街镇成员单位要统筹、协调辖区内中小学校，将本次网上读书活动与中小学生日常学习活动相结合；同时，将其作为学生暑期生活的重要内容，丰富学生课余生活。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、各成员单位可与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年“青浦市民读书节”活动相结合，根据各自实际工作，开展与读书活动有关的、各具特色的活动。</w:t>
      </w:r>
    </w:p>
    <w:p w:rsidR="00270EAD" w:rsidRDefault="00806BF4" w:rsidP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（二）成果提交要求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各成员单位按照各专题读书活动的具体要求，指导市民开展网上阅读并提交学习成果，在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“青浦市民学习网”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及</w:t>
      </w:r>
      <w:proofErr w:type="gramStart"/>
      <w:r>
        <w:rPr>
          <w:rFonts w:ascii="仿宋" w:eastAsia="仿宋" w:hAnsi="仿宋" w:cs="仿宋" w:hint="eastAsia"/>
          <w:bCs/>
          <w:kern w:val="0"/>
          <w:sz w:val="30"/>
          <w:szCs w:val="30"/>
        </w:rPr>
        <w:t>官方微信进行</w:t>
      </w:r>
      <w:proofErr w:type="gramEnd"/>
      <w:r>
        <w:rPr>
          <w:rFonts w:ascii="仿宋" w:eastAsia="仿宋" w:hAnsi="仿宋" w:cs="仿宋" w:hint="eastAsia"/>
          <w:bCs/>
          <w:kern w:val="0"/>
          <w:sz w:val="30"/>
          <w:szCs w:val="30"/>
        </w:rPr>
        <w:t>交流展示。各街镇社区学校要做好学习活动的指导、培训工作。</w:t>
      </w:r>
    </w:p>
    <w:p w:rsidR="00270EAD" w:rsidRDefault="00806BF4" w:rsidP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（三）材料报送要求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lastRenderedPageBreak/>
        <w:t>各成员单位要做好活动数据统计及材料报送工作。委办局由联络员报送，街镇由社区学校统一报送。书面材料一式二份，加盖单位公章，并上报电子版本。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做好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“致敬，在阅读的您”——第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青浦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社区网上读书活动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的总结报告（不少于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1000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字）。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各</w:t>
      </w:r>
      <w:r>
        <w:rPr>
          <w:rFonts w:ascii="仿宋" w:eastAsia="仿宋" w:hAnsi="仿宋" w:cs="仿宋" w:hint="eastAsia"/>
          <w:sz w:val="30"/>
          <w:szCs w:val="30"/>
        </w:rPr>
        <w:t>街镇</w:t>
      </w:r>
      <w:r>
        <w:rPr>
          <w:rFonts w:ascii="仿宋" w:eastAsia="仿宋" w:hAnsi="仿宋" w:cs="仿宋" w:hint="eastAsia"/>
          <w:sz w:val="30"/>
          <w:szCs w:val="30"/>
        </w:rPr>
        <w:t>做好“结伴阅读之旅”活动的成果总结，并将成果及时展示于上海学习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在网上读书活动期间随时提交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活动总结报告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报送时间：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10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10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日。</w:t>
      </w:r>
    </w:p>
    <w:p w:rsidR="00270EAD" w:rsidRDefault="00806BF4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、报送地址：青浦区社区学院（章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浜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路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118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号）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室。</w:t>
      </w:r>
    </w:p>
    <w:p w:rsidR="00270EAD" w:rsidRDefault="00806BF4" w:rsidP="00806BF4">
      <w:pPr>
        <w:widowControl/>
        <w:snapToGrid w:val="0"/>
        <w:spacing w:line="560" w:lineRule="atLeast"/>
        <w:ind w:firstLineChars="200" w:firstLine="6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十、活动联系</w:t>
      </w:r>
    </w:p>
    <w:p w:rsidR="00270EAD" w:rsidRDefault="00806BF4">
      <w:pPr>
        <w:widowControl/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联系人：青浦区社区学院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叶晓秋</w:t>
      </w:r>
    </w:p>
    <w:p w:rsidR="00270EAD" w:rsidRDefault="00806BF4">
      <w:pPr>
        <w:widowControl/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18918865739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电子邮箱：</w:t>
      </w:r>
      <w:r>
        <w:rPr>
          <w:rFonts w:ascii="仿宋" w:eastAsia="仿宋" w:hAnsi="仿宋" w:cs="仿宋" w:hint="eastAsia"/>
          <w:sz w:val="30"/>
          <w:szCs w:val="30"/>
        </w:rPr>
        <w:t>qpyxq@163.com</w:t>
      </w:r>
    </w:p>
    <w:p w:rsidR="00270EAD" w:rsidRDefault="00806BF4" w:rsidP="00806BF4">
      <w:pPr>
        <w:widowControl/>
        <w:snapToGrid w:val="0"/>
        <w:spacing w:line="560" w:lineRule="atLeast"/>
        <w:ind w:firstLineChars="200" w:firstLine="6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十一、其它事项</w:t>
      </w:r>
    </w:p>
    <w:p w:rsidR="00270EAD" w:rsidRDefault="00806BF4">
      <w:pPr>
        <w:widowControl/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活动通知及附件可在“青浦市民学习网”（</w:t>
      </w:r>
      <w:hyperlink r:id="rId7" w:history="1">
        <w:r>
          <w:rPr>
            <w:rStyle w:val="a5"/>
            <w:rFonts w:ascii="仿宋" w:eastAsia="仿宋" w:hAnsi="仿宋" w:cs="仿宋" w:hint="eastAsia"/>
            <w:sz w:val="30"/>
            <w:szCs w:val="30"/>
          </w:rPr>
          <w:t>www.qplll.net</w:t>
        </w:r>
      </w:hyperlink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通知公告栏下载。</w:t>
      </w:r>
    </w:p>
    <w:p w:rsidR="00270EAD" w:rsidRDefault="00270EAD">
      <w:pPr>
        <w:widowControl/>
        <w:adjustRightInd w:val="0"/>
        <w:snapToGrid w:val="0"/>
        <w:spacing w:line="560" w:lineRule="atLeas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270EAD" w:rsidRDefault="00806BF4">
      <w:pPr>
        <w:widowControl/>
        <w:adjustRightInd w:val="0"/>
        <w:snapToGrid w:val="0"/>
        <w:spacing w:line="560" w:lineRule="atLeas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附件：</w:t>
      </w:r>
    </w:p>
    <w:p w:rsidR="00270EAD" w:rsidRDefault="00806BF4">
      <w:pPr>
        <w:widowControl/>
        <w:snapToGrid w:val="0"/>
        <w:spacing w:line="56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第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届</w:t>
      </w:r>
      <w:r>
        <w:rPr>
          <w:rFonts w:ascii="仿宋" w:eastAsia="仿宋" w:hAnsi="仿宋" w:cs="仿宋" w:hint="eastAsia"/>
          <w:sz w:val="30"/>
          <w:szCs w:val="30"/>
        </w:rPr>
        <w:t>青浦</w:t>
      </w:r>
      <w:r>
        <w:rPr>
          <w:rFonts w:ascii="仿宋" w:eastAsia="仿宋" w:hAnsi="仿宋" w:cs="仿宋" w:hint="eastAsia"/>
          <w:sz w:val="30"/>
          <w:szCs w:val="30"/>
        </w:rPr>
        <w:t>社区网上读书活动市民获取积分规则</w:t>
      </w:r>
    </w:p>
    <w:p w:rsidR="00270EAD" w:rsidRDefault="00806BF4">
      <w:pPr>
        <w:widowControl/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年上海社区网上读书活动街镇活动指标数</w:t>
      </w:r>
    </w:p>
    <w:p w:rsidR="00270EAD" w:rsidRDefault="00270EAD">
      <w:pPr>
        <w:widowControl/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" w:cs="Tahoma"/>
          <w:color w:val="000000"/>
          <w:kern w:val="0"/>
          <w:sz w:val="28"/>
          <w:szCs w:val="28"/>
        </w:rPr>
      </w:pPr>
    </w:p>
    <w:p w:rsidR="00270EAD" w:rsidRDefault="00270EAD">
      <w:pPr>
        <w:widowControl/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" w:cs="Tahoma"/>
          <w:color w:val="000000"/>
          <w:kern w:val="0"/>
          <w:sz w:val="28"/>
          <w:szCs w:val="28"/>
        </w:rPr>
      </w:pPr>
    </w:p>
    <w:p w:rsidR="00270EAD" w:rsidRDefault="00806BF4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                       </w:t>
      </w:r>
    </w:p>
    <w:p w:rsidR="00270EAD" w:rsidRDefault="00270EAD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_GB2312" w:eastAsia="仿宋_GB2312" w:hAnsi="仿宋" w:cs="宋体"/>
          <w:kern w:val="0"/>
          <w:sz w:val="28"/>
          <w:szCs w:val="28"/>
        </w:rPr>
      </w:pPr>
    </w:p>
    <w:p w:rsidR="00270EAD" w:rsidRDefault="00806BF4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20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日</w:t>
      </w: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806BF4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270EAD" w:rsidRDefault="00806BF4">
      <w:pPr>
        <w:widowControl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届上海社区网上读书活动市民获取积分规则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270EAD" w:rsidRDefault="00806BF4" w:rsidP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在线学习（走进阅读空间）：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“看书”：每阅读一次图书积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分，每日上限积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分，不限图书。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“听书”：每收听一次书籍积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分，每日上限积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分，不限书籍。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“科普防疫”：每点击查看一篇文章积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分，每日上限积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270EAD" w:rsidRDefault="00806BF4" w:rsidP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上传照片（随拍阅读身影）：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每上传一次有效照片积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分，每日上限积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分。有效照片需由后台管理员审核通过。</w:t>
      </w:r>
    </w:p>
    <w:p w:rsidR="00270EAD" w:rsidRDefault="00806BF4" w:rsidP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签到（小打卡）：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每日签到积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270EAD" w:rsidRDefault="00806BF4" w:rsidP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扣分：</w:t>
      </w:r>
    </w:p>
    <w:p w:rsidR="00270EAD" w:rsidRDefault="00806BF4">
      <w:pPr>
        <w:widowControl/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大量重发相同内容将会被删除并扣除相应积分。</w:t>
      </w: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380" w:lineRule="exact"/>
        <w:jc w:val="left"/>
        <w:rPr>
          <w:rFonts w:ascii="仿宋" w:hAnsi="仿宋"/>
          <w:bCs/>
          <w:color w:val="000000"/>
          <w:sz w:val="28"/>
          <w:szCs w:val="28"/>
        </w:rPr>
      </w:pPr>
    </w:p>
    <w:p w:rsidR="00270EAD" w:rsidRDefault="00270EAD">
      <w:pPr>
        <w:widowControl/>
        <w:snapToGrid w:val="0"/>
        <w:spacing w:line="560" w:lineRule="exact"/>
        <w:jc w:val="left"/>
        <w:rPr>
          <w:rFonts w:ascii="黑体" w:eastAsia="黑体" w:hAnsi="黑体"/>
          <w:bCs/>
          <w:color w:val="000000"/>
          <w:sz w:val="30"/>
          <w:szCs w:val="30"/>
        </w:rPr>
      </w:pPr>
    </w:p>
    <w:p w:rsidR="00270EAD" w:rsidRDefault="00806BF4">
      <w:pPr>
        <w:widowControl/>
        <w:snapToGrid w:val="0"/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附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件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</w:p>
    <w:p w:rsidR="00270EAD" w:rsidRDefault="00806BF4">
      <w:pPr>
        <w:widowControl/>
        <w:spacing w:before="150" w:after="150" w:line="440" w:lineRule="exact"/>
        <w:ind w:firstLine="641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lastRenderedPageBreak/>
        <w:t>20</w:t>
      </w: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t>20</w:t>
      </w: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t>年</w:t>
      </w: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t>青浦</w:t>
      </w: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t>社区网上读书活动</w:t>
      </w:r>
    </w:p>
    <w:p w:rsidR="00270EAD" w:rsidRDefault="00806BF4">
      <w:pPr>
        <w:widowControl/>
        <w:spacing w:before="150" w:after="150" w:line="440" w:lineRule="exact"/>
        <w:ind w:firstLine="641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街镇活动指标数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</w:p>
    <w:p w:rsidR="00270EAD" w:rsidRDefault="00270EAD">
      <w:pPr>
        <w:widowControl/>
        <w:spacing w:before="150" w:after="150" w:line="440" w:lineRule="exact"/>
        <w:ind w:firstLine="641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693"/>
        <w:gridCol w:w="3441"/>
      </w:tblGrid>
      <w:tr w:rsidR="00270EAD">
        <w:tc>
          <w:tcPr>
            <w:tcW w:w="959" w:type="dxa"/>
            <w:vAlign w:val="center"/>
          </w:tcPr>
          <w:p w:rsidR="00270EAD" w:rsidRDefault="00806BF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60" w:lineRule="auto"/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街镇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活动指标数（单位：人）</w:t>
            </w:r>
          </w:p>
        </w:tc>
        <w:tc>
          <w:tcPr>
            <w:tcW w:w="3441" w:type="dxa"/>
          </w:tcPr>
          <w:p w:rsidR="00270EAD" w:rsidRDefault="00806BF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270EAD">
        <w:trPr>
          <w:trHeight w:val="600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夏阳街道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5</w:t>
            </w:r>
            <w:r>
              <w:rPr>
                <w:rFonts w:ascii="仿宋_GB2312" w:eastAsia="仿宋_GB2312"/>
                <w:sz w:val="32"/>
              </w:rPr>
              <w:t>00</w:t>
            </w:r>
          </w:p>
        </w:tc>
        <w:tc>
          <w:tcPr>
            <w:tcW w:w="3441" w:type="dxa"/>
            <w:vMerge w:val="restart"/>
            <w:vAlign w:val="center"/>
          </w:tcPr>
          <w:p w:rsidR="00270EAD" w:rsidRDefault="00806BF4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、此指标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数主要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是指参加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活动的人数。</w:t>
            </w:r>
          </w:p>
          <w:p w:rsidR="00270EAD" w:rsidRDefault="00806BF4">
            <w:pPr>
              <w:spacing w:line="460" w:lineRule="exact"/>
              <w:ind w:left="-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、各街镇重点培育的学习团队必须参加。</w:t>
            </w:r>
          </w:p>
          <w:p w:rsidR="00270EAD" w:rsidRDefault="00806BF4">
            <w:pPr>
              <w:spacing w:line="460" w:lineRule="exact"/>
              <w:ind w:left="-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、各街镇可通过各类平台和途径加强宣传发动，组织更多人群参与活动，进一步提升本区域活动的参与率率。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4 4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读书活动将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开展“网上读书活动先进个人”、“优秀组织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织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奖”等评选活动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270EAD">
        <w:trPr>
          <w:trHeight w:val="586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</w:rPr>
              <w:t>盈浦街道</w:t>
            </w:r>
            <w:proofErr w:type="gramEnd"/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4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08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香花桥街道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1300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764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赵巷镇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2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10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徐</w:t>
            </w:r>
            <w:proofErr w:type="gramStart"/>
            <w:r>
              <w:rPr>
                <w:rFonts w:ascii="仿宋_GB2312" w:eastAsia="仿宋_GB2312" w:hint="eastAsia"/>
                <w:sz w:val="32"/>
              </w:rPr>
              <w:t>泾</w:t>
            </w:r>
            <w:proofErr w:type="gramEnd"/>
            <w:r>
              <w:rPr>
                <w:rFonts w:ascii="仿宋_GB2312" w:eastAsia="仿宋_GB2312" w:hint="eastAsia"/>
                <w:sz w:val="32"/>
              </w:rPr>
              <w:t>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5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18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华新镇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8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12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重固镇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1000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21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白鹤镇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1200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01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朱家角镇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5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22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10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练塘镇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3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16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11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金泽镇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3</w:t>
            </w:r>
            <w:r>
              <w:rPr>
                <w:rFonts w:ascii="仿宋_GB2312" w:eastAsia="仿宋_GB2312" w:hint="eastAsia"/>
                <w:sz w:val="32"/>
              </w:rPr>
              <w:t>00</w:t>
            </w:r>
          </w:p>
        </w:tc>
        <w:tc>
          <w:tcPr>
            <w:tcW w:w="3441" w:type="dxa"/>
            <w:vMerge/>
          </w:tcPr>
          <w:p w:rsidR="00270EAD" w:rsidRDefault="00270E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70EAD">
        <w:trPr>
          <w:trHeight w:val="601"/>
        </w:trPr>
        <w:tc>
          <w:tcPr>
            <w:tcW w:w="959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合计</w:t>
            </w:r>
          </w:p>
        </w:tc>
        <w:tc>
          <w:tcPr>
            <w:tcW w:w="1843" w:type="dxa"/>
            <w:vAlign w:val="center"/>
          </w:tcPr>
          <w:p w:rsidR="00270EAD" w:rsidRDefault="00806BF4">
            <w:pPr>
              <w:spacing w:line="32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11</w:t>
            </w:r>
            <w:r>
              <w:rPr>
                <w:rFonts w:ascii="仿宋_GB2312" w:eastAsia="仿宋_GB2312" w:hint="eastAsia"/>
                <w:b/>
                <w:sz w:val="32"/>
              </w:rPr>
              <w:t>个</w:t>
            </w:r>
          </w:p>
        </w:tc>
        <w:tc>
          <w:tcPr>
            <w:tcW w:w="2693" w:type="dxa"/>
            <w:vAlign w:val="center"/>
          </w:tcPr>
          <w:p w:rsidR="00270EAD" w:rsidRDefault="00806BF4">
            <w:pPr>
              <w:spacing w:line="32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15000</w:t>
            </w:r>
          </w:p>
        </w:tc>
        <w:tc>
          <w:tcPr>
            <w:tcW w:w="3441" w:type="dxa"/>
          </w:tcPr>
          <w:p w:rsidR="00270EAD" w:rsidRDefault="00270EA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270EAD" w:rsidRDefault="00270EAD">
      <w:pPr>
        <w:widowControl/>
        <w:snapToGrid w:val="0"/>
        <w:spacing w:line="560" w:lineRule="exact"/>
        <w:ind w:firstLineChars="200" w:firstLine="600"/>
        <w:jc w:val="left"/>
        <w:rPr>
          <w:rFonts w:ascii="黑体" w:eastAsia="黑体" w:hAnsi="黑体"/>
          <w:bCs/>
          <w:color w:val="000000"/>
          <w:sz w:val="30"/>
          <w:szCs w:val="30"/>
        </w:rPr>
      </w:pPr>
    </w:p>
    <w:sectPr w:rsidR="0027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B36"/>
    <w:multiLevelType w:val="multilevel"/>
    <w:tmpl w:val="30212B3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仿宋" w:eastAsia="仿宋" w:hAnsi="仿宋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D2"/>
    <w:rsid w:val="00270EAD"/>
    <w:rsid w:val="004573A9"/>
    <w:rsid w:val="005826BD"/>
    <w:rsid w:val="006A7BD2"/>
    <w:rsid w:val="00806BF4"/>
    <w:rsid w:val="00AD7B7B"/>
    <w:rsid w:val="070818DB"/>
    <w:rsid w:val="1027576B"/>
    <w:rsid w:val="346F0192"/>
    <w:rsid w:val="437256DB"/>
    <w:rsid w:val="589831F5"/>
    <w:rsid w:val="5AB754D6"/>
    <w:rsid w:val="74B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qpll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620</Words>
  <Characters>3540</Characters>
  <Application>Microsoft Office Word</Application>
  <DocSecurity>0</DocSecurity>
  <Lines>29</Lines>
  <Paragraphs>8</Paragraphs>
  <ScaleCrop>false</ScaleCrop>
  <Company>微软中国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2020-05-04T02:34:00Z</dcterms:created>
  <dcterms:modified xsi:type="dcterms:W3CDTF">2020-05-20T05:22:00Z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